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60" w:rsidRPr="00244960" w:rsidRDefault="00244960" w:rsidP="00244960">
      <w:pPr>
        <w:jc w:val="center"/>
        <w:rPr>
          <w:b/>
          <w:sz w:val="28"/>
          <w:szCs w:val="28"/>
        </w:rPr>
      </w:pPr>
      <w:r w:rsidRPr="00244960">
        <w:rPr>
          <w:b/>
          <w:sz w:val="28"/>
          <w:szCs w:val="28"/>
        </w:rPr>
        <w:t>ПОРЯДОК ИСПОЛЬЗОВАНИЯ ОТКРЫТОГО ОГНЯ И РАЗВЕДЕНИЯ КОСТРОВ НА ЗЕМЛЯХ СЕЛЬСКОХОЗЯЙСТВЕННОГО НАЗНАЧЕНИЯ, ЗЕМЛЯХ ЗАПАСА И ЗЕМЛЯХ НАСЕЛЕННЫХ ПУНКТОВ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Pr="00244960">
        <w:rPr>
          <w:sz w:val="28"/>
          <w:szCs w:val="28"/>
        </w:rPr>
        <w:t>Настоящий порядок использования открытого огня и разведения костров на землях сельскохозяйственного назначения, землях запаса и землях населенных пунктов (далее -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назначения, землях запаса и землях населенных пунктов (далее - использование открытого огня).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bookmarkStart w:id="0" w:name="_bookmark0"/>
      <w:bookmarkEnd w:id="0"/>
      <w:r>
        <w:rPr>
          <w:sz w:val="28"/>
          <w:szCs w:val="28"/>
        </w:rPr>
        <w:t xml:space="preserve">2. </w:t>
      </w:r>
      <w:r w:rsidRPr="00244960">
        <w:rPr>
          <w:sz w:val="28"/>
          <w:szCs w:val="28"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proofErr w:type="gramStart"/>
      <w:r w:rsidRPr="00244960">
        <w:rPr>
          <w:sz w:val="28"/>
          <w:szCs w:val="28"/>
        </w:rPr>
        <w:t>а</w:t>
      </w:r>
      <w:r w:rsidR="00AB32BA">
        <w:rPr>
          <w:sz w:val="28"/>
          <w:szCs w:val="28"/>
        </w:rPr>
        <w:t xml:space="preserve">) место использования открытого </w:t>
      </w:r>
      <w:r w:rsidRPr="00244960">
        <w:rPr>
          <w:sz w:val="28"/>
          <w:szCs w:val="28"/>
        </w:rPr>
        <w:t>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244960">
        <w:rPr>
          <w:sz w:val="28"/>
          <w:szCs w:val="28"/>
        </w:rPr>
        <w:t xml:space="preserve"> более 1 куб. метра;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bookmarkStart w:id="1" w:name="_bookmark1"/>
      <w:bookmarkEnd w:id="1"/>
      <w:r w:rsidRPr="00244960">
        <w:rPr>
          <w:sz w:val="28"/>
          <w:szCs w:val="28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bookmarkStart w:id="2" w:name="_bookmark2"/>
      <w:bookmarkEnd w:id="2"/>
      <w:r w:rsidRPr="00244960">
        <w:rPr>
          <w:sz w:val="28"/>
          <w:szCs w:val="28"/>
        </w:rPr>
        <w:t>в) территория вокруг места использования открытого огня должна быть очищена в радиусе 10 метров от сухо</w:t>
      </w:r>
      <w:r>
        <w:rPr>
          <w:sz w:val="28"/>
          <w:szCs w:val="28"/>
        </w:rPr>
        <w:t xml:space="preserve">стойных деревьев, сухой травы, </w:t>
      </w:r>
      <w:r w:rsidRPr="00244960">
        <w:rPr>
          <w:sz w:val="28"/>
          <w:szCs w:val="28"/>
        </w:rPr>
        <w:t>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44960">
        <w:rPr>
          <w:sz w:val="28"/>
          <w:szCs w:val="28"/>
        </w:rPr>
        <w:t xml:space="preserve">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_bookmark1" w:history="1">
        <w:r w:rsidRPr="00244960">
          <w:rPr>
            <w:rStyle w:val="a6"/>
            <w:sz w:val="28"/>
            <w:szCs w:val="28"/>
          </w:rPr>
          <w:t xml:space="preserve">подпунктами "б" </w:t>
        </w:r>
      </w:hyperlink>
      <w:r w:rsidRPr="00244960">
        <w:rPr>
          <w:sz w:val="28"/>
          <w:szCs w:val="28"/>
        </w:rPr>
        <w:t xml:space="preserve">и </w:t>
      </w:r>
      <w:hyperlink w:anchor="_bookmark2" w:history="1">
        <w:r w:rsidRPr="00244960">
          <w:rPr>
            <w:rStyle w:val="a6"/>
            <w:sz w:val="28"/>
            <w:szCs w:val="28"/>
          </w:rPr>
          <w:t xml:space="preserve">"в" пункта 2 </w:t>
        </w:r>
      </w:hyperlink>
      <w:r w:rsidRPr="00244960">
        <w:rPr>
          <w:sz w:val="28"/>
          <w:szCs w:val="28"/>
        </w:rPr>
        <w:t>порядка, могут быть уменьшены вдвое. При этом устройство противопожарной минерализованной полосы не требуется.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44960">
        <w:rPr>
          <w:sz w:val="28"/>
          <w:szCs w:val="28"/>
        </w:rPr>
        <w:t>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5.При </w:t>
      </w:r>
      <w:r w:rsidR="00AB32BA">
        <w:rPr>
          <w:sz w:val="28"/>
          <w:szCs w:val="28"/>
        </w:rPr>
        <w:t xml:space="preserve">использовании открытого огня и </w:t>
      </w:r>
      <w:r w:rsidRPr="00244960">
        <w:rPr>
          <w:sz w:val="28"/>
          <w:szCs w:val="28"/>
        </w:rPr>
        <w:t xml:space="preserve">разведении костров для приготовления пищи в специальных несгораемых емкостях (например, </w:t>
      </w:r>
      <w:r w:rsidRPr="00244960">
        <w:rPr>
          <w:sz w:val="28"/>
          <w:szCs w:val="28"/>
        </w:rPr>
        <w:lastRenderedPageBreak/>
        <w:t>мангалах, жаровнях) на земельных участках населенных пунктов, а также на садовых земельных участках, относящихся</w:t>
      </w:r>
      <w:r w:rsidR="00AB32BA">
        <w:rPr>
          <w:sz w:val="28"/>
          <w:szCs w:val="28"/>
        </w:rPr>
        <w:t xml:space="preserve">  к </w:t>
      </w:r>
      <w:r w:rsidRPr="00244960">
        <w:rPr>
          <w:sz w:val="28"/>
          <w:szCs w:val="28"/>
        </w:rPr>
        <w:t>землям  сель</w:t>
      </w:r>
      <w:r w:rsidR="00AB32BA">
        <w:rPr>
          <w:sz w:val="28"/>
          <w:szCs w:val="28"/>
        </w:rPr>
        <w:t xml:space="preserve">скохозяйственного  </w:t>
      </w:r>
      <w:bookmarkStart w:id="3" w:name="_GoBack"/>
      <w:r w:rsidR="00AB32BA">
        <w:rPr>
          <w:sz w:val="28"/>
          <w:szCs w:val="28"/>
        </w:rPr>
        <w:t xml:space="preserve">назначения, противопожарное расстояние от </w:t>
      </w:r>
      <w:r w:rsidRPr="00244960">
        <w:rPr>
          <w:sz w:val="28"/>
          <w:szCs w:val="28"/>
        </w:rPr>
        <w:t xml:space="preserve">очага горения до зданий, </w:t>
      </w:r>
      <w:bookmarkEnd w:id="3"/>
      <w:r w:rsidRPr="00244960">
        <w:rPr>
          <w:sz w:val="28"/>
          <w:szCs w:val="28"/>
        </w:rPr>
        <w:t>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44960">
        <w:rPr>
          <w:sz w:val="28"/>
          <w:szCs w:val="28"/>
        </w:rPr>
        <w:t>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44960">
        <w:rPr>
          <w:sz w:val="28"/>
          <w:szCs w:val="28"/>
        </w:rPr>
        <w:t xml:space="preserve">При увеличении диаметра зоны очага горения должны быть выполнены требования </w:t>
      </w:r>
      <w:hyperlink w:anchor="_bookmark0" w:history="1">
        <w:r w:rsidRPr="00244960">
          <w:rPr>
            <w:rStyle w:val="a6"/>
            <w:sz w:val="28"/>
            <w:szCs w:val="28"/>
          </w:rPr>
          <w:t xml:space="preserve">пункта 2 </w:t>
        </w:r>
      </w:hyperlink>
      <w:r w:rsidRPr="00244960">
        <w:rPr>
          <w:sz w:val="28"/>
          <w:szCs w:val="28"/>
        </w:rPr>
        <w:t>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244960">
        <w:rPr>
          <w:sz w:val="28"/>
          <w:szCs w:val="28"/>
        </w:rPr>
        <w:t xml:space="preserve">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244960">
        <w:rPr>
          <w:sz w:val="28"/>
          <w:szCs w:val="28"/>
        </w:rPr>
        <w:t>контроль за</w:t>
      </w:r>
      <w:proofErr w:type="gramEnd"/>
      <w:r w:rsidRPr="00244960">
        <w:rPr>
          <w:sz w:val="28"/>
          <w:szCs w:val="28"/>
        </w:rPr>
        <w:t xml:space="preserve"> нераспространением горения (тления) за пределы очаговой зоны.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244960">
        <w:rPr>
          <w:sz w:val="28"/>
          <w:szCs w:val="28"/>
        </w:rPr>
        <w:t>Использование открытого огня запрещается: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t>на торфяных почвах;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t>при установлении на соответствующей территории особого противопожарного режима;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t>под кронами деревьев хвойных пород;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t>при скорости ветра, превышающей значение 10 метров в секунду.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244960">
        <w:rPr>
          <w:sz w:val="28"/>
          <w:szCs w:val="28"/>
        </w:rPr>
        <w:t>В процессе использования открытого огня запрещается: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44960">
        <w:rPr>
          <w:sz w:val="28"/>
          <w:szCs w:val="28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lastRenderedPageBreak/>
        <w:t>оставлять место очага горения без присмотра до полного прекращения горения (тления);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 w:rsidRPr="00244960">
        <w:rPr>
          <w:sz w:val="28"/>
          <w:szCs w:val="28"/>
        </w:rPr>
        <w:t>располагать легковоспламеняющиеся и горючие жидкости, а также горючие материалы вблизи очага горения.</w:t>
      </w:r>
    </w:p>
    <w:p w:rsidR="00244960" w:rsidRPr="00244960" w:rsidRDefault="00244960" w:rsidP="00244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 </w:t>
      </w:r>
      <w:r w:rsidRPr="00244960">
        <w:rPr>
          <w:sz w:val="28"/>
          <w:szCs w:val="28"/>
        </w:rPr>
        <w:t>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sectPr w:rsidR="00244960" w:rsidRPr="0024496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D5E" w:rsidRDefault="00422D5E">
      <w:r>
        <w:separator/>
      </w:r>
    </w:p>
  </w:endnote>
  <w:endnote w:type="continuationSeparator" w:id="0">
    <w:p w:rsidR="00422D5E" w:rsidRDefault="0042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960" w:rsidRDefault="0024496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D5E" w:rsidRDefault="00422D5E">
      <w:r>
        <w:separator/>
      </w:r>
    </w:p>
  </w:footnote>
  <w:footnote w:type="continuationSeparator" w:id="0">
    <w:p w:rsidR="00422D5E" w:rsidRDefault="00422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B4E70"/>
    <w:multiLevelType w:val="hybridMultilevel"/>
    <w:tmpl w:val="E8FCC6F6"/>
    <w:lvl w:ilvl="0" w:tplc="6E46EF16">
      <w:start w:val="1"/>
      <w:numFmt w:val="decimal"/>
      <w:lvlText w:val="%1."/>
      <w:lvlJc w:val="left"/>
      <w:pPr>
        <w:ind w:left="1190" w:hanging="3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A5AB0E8">
      <w:numFmt w:val="bullet"/>
      <w:lvlText w:val="•"/>
      <w:lvlJc w:val="left"/>
      <w:pPr>
        <w:ind w:left="2270" w:hanging="302"/>
      </w:pPr>
      <w:rPr>
        <w:rFonts w:hint="default"/>
        <w:lang w:val="ru-RU" w:eastAsia="en-US" w:bidi="ar-SA"/>
      </w:rPr>
    </w:lvl>
    <w:lvl w:ilvl="2" w:tplc="48487090">
      <w:numFmt w:val="bullet"/>
      <w:lvlText w:val="•"/>
      <w:lvlJc w:val="left"/>
      <w:pPr>
        <w:ind w:left="3341" w:hanging="302"/>
      </w:pPr>
      <w:rPr>
        <w:rFonts w:hint="default"/>
        <w:lang w:val="ru-RU" w:eastAsia="en-US" w:bidi="ar-SA"/>
      </w:rPr>
    </w:lvl>
    <w:lvl w:ilvl="3" w:tplc="D09A53D0">
      <w:numFmt w:val="bullet"/>
      <w:lvlText w:val="•"/>
      <w:lvlJc w:val="left"/>
      <w:pPr>
        <w:ind w:left="4411" w:hanging="302"/>
      </w:pPr>
      <w:rPr>
        <w:rFonts w:hint="default"/>
        <w:lang w:val="ru-RU" w:eastAsia="en-US" w:bidi="ar-SA"/>
      </w:rPr>
    </w:lvl>
    <w:lvl w:ilvl="4" w:tplc="EDCA18D0">
      <w:numFmt w:val="bullet"/>
      <w:lvlText w:val="•"/>
      <w:lvlJc w:val="left"/>
      <w:pPr>
        <w:ind w:left="5482" w:hanging="302"/>
      </w:pPr>
      <w:rPr>
        <w:rFonts w:hint="default"/>
        <w:lang w:val="ru-RU" w:eastAsia="en-US" w:bidi="ar-SA"/>
      </w:rPr>
    </w:lvl>
    <w:lvl w:ilvl="5" w:tplc="517C80EE">
      <w:numFmt w:val="bullet"/>
      <w:lvlText w:val="•"/>
      <w:lvlJc w:val="left"/>
      <w:pPr>
        <w:ind w:left="6553" w:hanging="302"/>
      </w:pPr>
      <w:rPr>
        <w:rFonts w:hint="default"/>
        <w:lang w:val="ru-RU" w:eastAsia="en-US" w:bidi="ar-SA"/>
      </w:rPr>
    </w:lvl>
    <w:lvl w:ilvl="6" w:tplc="9940DC56">
      <w:numFmt w:val="bullet"/>
      <w:lvlText w:val="•"/>
      <w:lvlJc w:val="left"/>
      <w:pPr>
        <w:ind w:left="7623" w:hanging="302"/>
      </w:pPr>
      <w:rPr>
        <w:rFonts w:hint="default"/>
        <w:lang w:val="ru-RU" w:eastAsia="en-US" w:bidi="ar-SA"/>
      </w:rPr>
    </w:lvl>
    <w:lvl w:ilvl="7" w:tplc="8F2C1CDE">
      <w:numFmt w:val="bullet"/>
      <w:lvlText w:val="•"/>
      <w:lvlJc w:val="left"/>
      <w:pPr>
        <w:ind w:left="8694" w:hanging="302"/>
      </w:pPr>
      <w:rPr>
        <w:rFonts w:hint="default"/>
        <w:lang w:val="ru-RU" w:eastAsia="en-US" w:bidi="ar-SA"/>
      </w:rPr>
    </w:lvl>
    <w:lvl w:ilvl="8" w:tplc="F6748262">
      <w:numFmt w:val="bullet"/>
      <w:lvlText w:val="•"/>
      <w:lvlJc w:val="left"/>
      <w:pPr>
        <w:ind w:left="9765" w:hanging="3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60"/>
    <w:rsid w:val="00244960"/>
    <w:rsid w:val="00422D5E"/>
    <w:rsid w:val="0056683B"/>
    <w:rsid w:val="00AB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49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4960"/>
    <w:pPr>
      <w:ind w:left="119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49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44960"/>
    <w:pPr>
      <w:ind w:left="1190" w:firstLine="540"/>
      <w:jc w:val="both"/>
    </w:pPr>
  </w:style>
  <w:style w:type="character" w:styleId="a6">
    <w:name w:val="Hyperlink"/>
    <w:basedOn w:val="a0"/>
    <w:uiPriority w:val="99"/>
    <w:unhideWhenUsed/>
    <w:rsid w:val="002449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49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44960"/>
    <w:pPr>
      <w:ind w:left="119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4496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44960"/>
    <w:pPr>
      <w:ind w:left="1190" w:firstLine="540"/>
      <w:jc w:val="both"/>
    </w:pPr>
  </w:style>
  <w:style w:type="character" w:styleId="a6">
    <w:name w:val="Hyperlink"/>
    <w:basedOn w:val="a0"/>
    <w:uiPriority w:val="99"/>
    <w:unhideWhenUsed/>
    <w:rsid w:val="002449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kuzyeva</dc:creator>
  <cp:lastModifiedBy>kuzyeva</cp:lastModifiedBy>
  <cp:revision>3</cp:revision>
  <dcterms:created xsi:type="dcterms:W3CDTF">2022-04-08T08:35:00Z</dcterms:created>
  <dcterms:modified xsi:type="dcterms:W3CDTF">2022-04-08T08:57:00Z</dcterms:modified>
</cp:coreProperties>
</file>